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Toyota do Brasil celebra parceria com Comitê Paralímpico Brasileiro em evento em São Paulo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bricante forneceu aos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atletas kits contendo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pochetes, bolsas e necessaires confeccionados pelas costureiras do Projeto ReTornar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Foram 550 kits que utilizam resíduos como airbags, tecidos automotivos, uniformes e cintos de segurança, como matérias-primas em sua confecção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Apoio aos projetos do Comitê Brasileiro acontece desde 2018. Diversidade e inclusão no esporte foram o fio condutor que levaram a apoiar atletas nos Jogos Paralímpicos, em Tóquio 2021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</w:rPr>
        <w:drawing>
          <wp:inline distB="0" distT="0" distL="0" distR="0">
            <wp:extent cx="5400040" cy="3599815"/>
            <wp:effectExtent b="0" l="0" r="0" t="0"/>
            <wp:docPr id="195132930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2841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e2841"/>
          <w:sz w:val="16"/>
          <w:szCs w:val="16"/>
          <w:u w:val="none"/>
          <w:shd w:fill="auto" w:val="clear"/>
          <w:vertAlign w:val="baseline"/>
          <w:rtl w:val="0"/>
        </w:rPr>
        <w:t xml:space="preserve">Crédito: Divulgação Toyota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São Paulo, agosto de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A Toyota do Brasil promoveu a entrega simbólica de 550 kits com bolsas, pochetes e necessaires para os atletas que representarão o Brasil nos Jogos Paralímpicos Paris 2024. O evento aconteceu hoje, dia 12, na sede do Comitê Paralímpico em São Paulo, antes do embarque dos atletas para a competição. O projeto une o Comitê Paralímpico Brasileiro (CPB), a fabricante e o Projeto ReTornar. A ideia é transformar a necessidade em utilidade e sustentabilidade, com a criação de materiais indispensáveis na rotina de um atleta.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202565</wp:posOffset>
            </wp:positionV>
            <wp:extent cx="1603463" cy="2410459"/>
            <wp:effectExtent b="0" l="0" r="0" t="0"/>
            <wp:wrapSquare wrapText="bothSides" distB="0" distT="0" distL="114300" distR="114300"/>
            <wp:docPr id="195132930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3463" cy="24104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parceria visa não apenas fornecer equipamentos essenciais para os atletas, mas também promover a sustentabilidade e a responsabilidade social. As bolsas, pochetes   e necessaires foram desenhadas por Lucas Julião, atleta de esgrima em cadeira de rodas e designer do CPB e cuidadosamente desenvolvidas pelos grupos de costura de Indaiatuba (Cooperativa Uni Arte Costura) e Sorocaba para atender às necessidades dos atletas paralímpicos, garantindo praticidade e funcionalidade durante os Jogos, em Paris.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evento simboliza mais um ponto de união entre a Toyota do Brasil e o Comitê Paralímpico Brasileiro (CPB) por meio do conceito de economia circular, enfatizando a importância de práticas sustentáveis e a reciclagem de materiais. O projeto ReTornar, que integra esses conceitos, será representado durante a cerimônia, reforçando a parceria em prol de um futuro mais sustentável.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ESG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Toyota do Brasil vem intensificando seus esforços para promover a economia circular. Apoiar o Comitê Paralímpico Brasileiro é uma das ações estratégicas da companhia que reforçam o compromisso com a sustentabilidade e a responsabilidade ambiental. A montadora e sua cadeia de fornecedores são ativas em doações de itens de produção que seriam descartados, por exemplo, antigos uniformes, tecidos automotivos, airbags e cintos de segurança.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 resíduos, são produzidos, dentre outros itens, roupinhas para pet, capas para notebook e mochilas. A venda dos produtos gera trabalho e renda para as costureiras. Unindo sustentabilidade e empoderamento feminino, o ReTornar já reutilizou mais de 24 toneladas de resíduos e impactou mais de 1.700 pessoas diretamente.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“O apoio à nossa delegação inspira a sociedade, reconhece e valoriza o atleta paralímpico e estimula a diversidade e o potencial empoderador do esporte. Cada atleta receberá uma bolsa contendo, além da nossa torcida como brasileiros, itens preparados com materiais reciclados, simbolizando a união da sustentabilidade com o incentivo ao esporte”, explica Roberto Braun, Diretor de comunicação e Presidente da Fundação Toyota do Brasil.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56515</wp:posOffset>
            </wp:positionV>
            <wp:extent cx="2711450" cy="1807845"/>
            <wp:effectExtent b="0" l="0" r="0" t="0"/>
            <wp:wrapSquare wrapText="bothSides" distB="0" distT="0" distL="114300" distR="114300"/>
            <wp:docPr id="195132930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807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1778000</wp:posOffset>
                </wp:positionV>
                <wp:extent cx="2720975" cy="248920"/>
                <wp:effectExtent b="0" l="0" r="0" t="0"/>
                <wp:wrapSquare wrapText="bothSides" distB="0" distT="0" distL="114300" distR="114300"/>
                <wp:docPr id="195132930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0275" y="3660303"/>
                          <a:ext cx="271145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e2841"/>
                                <w:sz w:val="14"/>
                                <w:vertAlign w:val="baseline"/>
                              </w:rPr>
                              <w:t xml:space="preserve">Costureiras do ReTornar e Equipe Toyota - Crédito: Marcello Zambrana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e2841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e2841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e2841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e2841"/>
                                <w:sz w:val="14"/>
                                <w:vertAlign w:val="baseline"/>
                              </w:rPr>
                              <w:t xml:space="preserve">Crédito: Marcello Zambrana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e2841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e2841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1778000</wp:posOffset>
                </wp:positionV>
                <wp:extent cx="2720975" cy="248920"/>
                <wp:effectExtent b="0" l="0" r="0" t="0"/>
                <wp:wrapSquare wrapText="bothSides" distB="0" distT="0" distL="114300" distR="114300"/>
                <wp:docPr id="195132930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097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Mizael Conrado, presidente do Comitê Paralímpico Brasileiro, o investimento de patrocinadores vai muito além do simples apoio monetário. “Ele representa a crença no potencial dos atletas com deficiência e na importância do esporte como uma ferramenta de inclusão e transformação social. Assim, damos as melhores condições de treinamento, equipamentos de última geração e a oportunidade de mostrar todo o potencial das pessoas com deficiência”, conclui o ex-atleta, eleito melhor jogador do mundo de futebol de cegos, bicampeão paralímpico (Atenas 2004 e Pequim 2008) e presidente do CPB desde 2017.</w:t>
      </w:r>
    </w:p>
    <w:p w:rsidR="00000000" w:rsidDel="00000000" w:rsidP="00000000" w:rsidRDefault="00000000" w:rsidRPr="00000000" w14:paraId="00000015">
      <w:pPr>
        <w:shd w:fill="ffffff" w:val="clear"/>
        <w:spacing w:after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Parceria mundial com Comitê Paralímpico Internacional (CPI)</w:t>
      </w:r>
    </w:p>
    <w:p w:rsidR="00000000" w:rsidDel="00000000" w:rsidP="00000000" w:rsidRDefault="00000000" w:rsidRPr="00000000" w14:paraId="00000016">
      <w:pPr>
        <w:shd w:fill="ffffff" w:val="clear"/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Durante os jogos, a companhia fornecerá soluções de mobilidade sustentável para os atletas, oficiais, voluntários, mídia credenciada e espectadores, com foco em inclusividade, sustentabilidade e mobilidade para todos – valores compartilhados pela Toyota, COI, CPI e pelo Comitê Organizador de Paris 2024 para os Jogos Paralímpicos.</w:t>
      </w:r>
    </w:p>
    <w:p w:rsidR="00000000" w:rsidDel="00000000" w:rsidP="00000000" w:rsidRDefault="00000000" w:rsidRPr="00000000" w14:paraId="00000017">
      <w:pPr>
        <w:shd w:fill="ffffff" w:val="clear"/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isso, oferecerá produtos de mobilidade pessoal e em grupo que são projetados para permitir facilidade de movimento para todos. Para usuários de cadeira de rodas, a Toyota fornecerá puxadores de cadeira de rodas elétricos. Cinquenta deles estarão disponíveis durante Paris 2024 na vila dos atletas. Além disso, mais 150 estarão disponíveis durante a cerimônia de abertura dos Jogos Paralímpicos para garantir que os atletas em cadeiras de rodas tenham fácil acesso para participar desse evento único.</w:t>
      </w:r>
    </w:p>
    <w:p w:rsidR="00000000" w:rsidDel="00000000" w:rsidP="00000000" w:rsidRDefault="00000000" w:rsidRPr="00000000" w14:paraId="00000018">
      <w:pPr>
        <w:shd w:fill="ffffff" w:val="clear"/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garantir acesso justo e fácil a essas soluções de micromobilidade pessoal na Vila Paralímpica, a Toyota as oferecerá como um serviço de mobilidade compartilhada alimentado pelo aplicativo móvel KINTO Share. A empresa também oferecerá cerca de 250 Veículos de Transporte de Pessoas Acessíveis (APM) com emissão zero de escape. </w:t>
      </w:r>
    </w:p>
    <w:p w:rsidR="00000000" w:rsidDel="00000000" w:rsidP="00000000" w:rsidRDefault="00000000" w:rsidRPr="00000000" w14:paraId="00000019">
      <w:pPr>
        <w:shd w:fill="ffffff" w:val="clear"/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APMs da Toyota são projetados para apoiar todos os atletas, bem como organizadores, voluntários e espectadores com deficiências físicas, incluindo usuários de cadeira de rodas. Eles serão utilizados para transportar pessoas, mercadorias e alguns serão designados como veículo de socorro para emergências. Os APMs operarão principalmente dentro das zonas de segurança de Paris 2024, tornando realidade a visão da Toyota de “Mobilidade para Todos”.</w:t>
      </w:r>
    </w:p>
    <w:p w:rsidR="00000000" w:rsidDel="00000000" w:rsidP="00000000" w:rsidRDefault="00000000" w:rsidRPr="00000000" w14:paraId="0000001A">
      <w:pPr>
        <w:shd w:fill="ffffff" w:val="clear"/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Toyota também fornecerá 150 veículos elétricos com bateria acessível para cadeiras de rodas Toyota Proace Verso para apoiar a mobilidade dos membros da família paralímpica em cadeiras de rodas. Após o evento, todos os veículos permanecerão na região de Paris, onde serão utilizados para fornecer serviços de transporte pessoal especializado para pessoas em cadeiras de rodas.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A Toyota do Brasil está presente no País há 66 anos empregando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82 mil carros eletrificados com a tecnologia híbrida flex em circulação pelo Brasil. Tem como missão produzir felicidade para todas as pessoas (“Happiness for All”) e, para tanto, está comprometida em desenvolver carros cada vez melhores e mais seguros, além de avançar nas soluções de mobilidade.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Marcelo Cosentino  – </w:t>
      </w:r>
      <w:hyperlink r:id="rId11">
        <w:r w:rsidDel="00000000" w:rsidR="00000000" w:rsidRPr="00000000">
          <w:rPr>
            <w:rFonts w:ascii="Calibri" w:cs="Calibri" w:eastAsia="Calibri" w:hAnsi="Calibri"/>
            <w:color w:val="467886"/>
            <w:sz w:val="24"/>
            <w:szCs w:val="24"/>
            <w:u w:val="single"/>
            <w:rtl w:val="0"/>
          </w:rPr>
          <w:t xml:space="preserve">mcosentino@toyota.com.br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Kessia Santos – </w:t>
      </w:r>
      <w:hyperlink r:id="rId12">
        <w:r w:rsidDel="00000000" w:rsidR="00000000" w:rsidRPr="00000000">
          <w:rPr>
            <w:rFonts w:ascii="Calibri" w:cs="Calibri" w:eastAsia="Calibri" w:hAnsi="Calibri"/>
            <w:color w:val="467886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Karina Arruda – </w:t>
      </w:r>
      <w:hyperlink r:id="rId13">
        <w:r w:rsidDel="00000000" w:rsidR="00000000" w:rsidRPr="00000000">
          <w:rPr>
            <w:rFonts w:ascii="Calibri" w:cs="Calibri" w:eastAsia="Calibri" w:hAnsi="Calibri"/>
            <w:color w:val="467886"/>
            <w:sz w:val="24"/>
            <w:szCs w:val="24"/>
            <w:u w:val="single"/>
            <w:rtl w:val="0"/>
          </w:rPr>
          <w:t xml:space="preserve">karina.arruda@toyota.com.br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Giusti Creative PR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toyota@giusticom.com.br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Vanessa Rodrigues - (11) 96153-4605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 Carolina Cachoni – (11) 99394-8200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sectPr>
      <w:headerReference r:id="rId14" w:type="default"/>
      <w:headerReference r:id="rId15" w:type="first"/>
      <w:head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406400"/>
              <wp:effectExtent b="0" l="0" r="0" t="0"/>
              <wp:wrapNone/>
              <wp:docPr descr="• PUBLIC 公開" id="195132930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406400"/>
              <wp:effectExtent b="0" l="0" r="0" t="0"/>
              <wp:wrapNone/>
              <wp:docPr descr="• PUBLIC 公開" id="1951329305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0420" cy="406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406400"/>
              <wp:effectExtent b="0" l="0" r="0" t="0"/>
              <wp:wrapNone/>
              <wp:docPr descr="• PUBLIC 公開" id="195132930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406400"/>
              <wp:effectExtent b="0" l="0" r="0" t="0"/>
              <wp:wrapNone/>
              <wp:docPr descr="• PUBLIC 公開" id="1951329303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0420" cy="406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1094866" cy="320506"/>
          <wp:effectExtent b="0" l="0" r="0" t="0"/>
          <wp:docPr descr="Desenho de um círculo&#10;&#10;Descrição gerada automaticamente com confiança baixa" id="1951329310" name="image1.png"/>
          <a:graphic>
            <a:graphicData uri="http://schemas.openxmlformats.org/drawingml/2006/picture">
              <pic:pic>
                <pic:nvPicPr>
                  <pic:cNvPr descr="Desenho de um círculo&#10;&#10;Descrição gerada automaticamente com confiança baix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4866" cy="320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406400"/>
              <wp:effectExtent b="0" l="0" r="0" t="0"/>
              <wp:wrapNone/>
              <wp:docPr descr="• PUBLIC 公開" id="195132930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406400"/>
              <wp:effectExtent b="0" l="0" r="0" t="0"/>
              <wp:wrapNone/>
              <wp:docPr descr="• PUBLIC 公開" id="1951329304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0420" cy="406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26F5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26F5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26F5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26F5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26F5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26F5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726F5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26F5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26F5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726F5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726F5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26F5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26F5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26F5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26F5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26F5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26F5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26F5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26F50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726F5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26F5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26F5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726F5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26F5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726F5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26F5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26F5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26F50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 w:val="1"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 w:val="1"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26F50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26F5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26F5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26F50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4E1A81"/>
    <w:pPr>
      <w:spacing w:after="100" w:afterAutospacing="1" w:before="100" w:beforeAutospacing="1" w:line="240" w:lineRule="auto"/>
    </w:pPr>
    <w:rPr>
      <w:rFonts w:ascii="Calibri" w:cs="Calibri" w:hAnsi="Calibri" w:eastAsiaTheme="minorHAnsi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8E5A5B"/>
    <w:pPr>
      <w:spacing w:after="200" w:line="240" w:lineRule="auto"/>
    </w:pPr>
    <w:rPr>
      <w:i w:val="1"/>
      <w:iCs w:val="1"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cosentino@toyota.com.br" TargetMode="External"/><Relationship Id="rId10" Type="http://schemas.openxmlformats.org/officeDocument/2006/relationships/image" Target="media/image8.png"/><Relationship Id="rId13" Type="http://schemas.openxmlformats.org/officeDocument/2006/relationships/hyperlink" Target="mailto:karina.arruda@toyota.com.br" TargetMode="Externa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sauN8/SoL6ePhAgIdgJ1XP+Xg==">CgMxLjA4AHIhMVFiZF9Sby1MYUtjN1JKcEowdTNPLUY2NktJSDRJdzkz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2024-06-21T11:46:00Z</dcterms:created>
  <dc:creator>Kessia de Oliveira 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2024-06-21T11:56:10Z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8bb4d194-1806-4c51-b81c-24e31cdbff51</vt:lpwstr>
  </property>
  <property fmtid="{D5CDD505-2E9C-101B-9397-08002B2CF9AE}" pid="11" name="MSIP_Label_023e975b-7b34-49da-9033-9c8f8f7bcde3_ContentBits">
    <vt:lpwstr>1</vt:lpwstr>
  </property>
</Properties>
</file>