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35"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Toyota do Brasil terá ofertas especiais </w:t>
        <w:br w:type="textWrapping"/>
        <w:t xml:space="preserve">para produtores rurais na 29ª edição da Agrishow</w:t>
        <w:br w:type="textWrapping"/>
      </w:r>
    </w:p>
    <w:p w:rsidR="00000000" w:rsidDel="00000000" w:rsidP="00000000" w:rsidRDefault="00000000" w:rsidRPr="00000000" w14:paraId="0000000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35"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Hilux Power Pack estará disponível com descontos de até R$ 43 mil</w:t>
      </w:r>
    </w:p>
    <w:p w:rsidR="00000000" w:rsidDel="00000000" w:rsidP="00000000" w:rsidRDefault="00000000" w:rsidRPr="00000000" w14:paraId="0000000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35"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Novo Corolla Cross 2025 fará sua primeira aparição para o público</w:t>
      </w:r>
    </w:p>
    <w:p w:rsidR="00000000" w:rsidDel="00000000" w:rsidP="00000000" w:rsidRDefault="00000000" w:rsidRPr="00000000" w14:paraId="00000004">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35"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Corolla, SW4 e RAV4 também são atrações da Toyota na feira</w:t>
      </w:r>
    </w:p>
    <w:p w:rsidR="00000000" w:rsidDel="00000000" w:rsidP="00000000" w:rsidRDefault="00000000" w:rsidRPr="00000000" w14:paraId="0000000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35" w:hanging="360"/>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Concessionários da região estarão no evento com time especializado para tirar dúvidas e realizar vendas</w:t>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after="0" w:line="360" w:lineRule="auto"/>
        <w:ind w:left="720" w:right="-35" w:firstLine="0"/>
        <w:jc w:val="both"/>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after="0" w:line="360" w:lineRule="auto"/>
        <w:ind w:left="1" w:right="-35" w:hanging="3"/>
        <w:jc w:val="both"/>
        <w:rPr>
          <w:sz w:val="24"/>
          <w:szCs w:val="24"/>
        </w:rPr>
      </w:pPr>
      <w:r w:rsidDel="00000000" w:rsidR="00000000" w:rsidRPr="00000000">
        <w:rPr>
          <w:rFonts w:ascii="Aptos" w:cs="Aptos" w:eastAsia="Aptos" w:hAnsi="Aptos"/>
          <w:b w:val="1"/>
          <w:rtl w:val="0"/>
        </w:rPr>
        <w:t xml:space="preserve">São Paulo, 25 de abril de 2024 -</w:t>
      </w:r>
      <w:r w:rsidDel="00000000" w:rsidR="00000000" w:rsidRPr="00000000">
        <w:rPr>
          <w:rFonts w:ascii="Aptos" w:cs="Aptos" w:eastAsia="Aptos" w:hAnsi="Aptos"/>
          <w:rtl w:val="0"/>
        </w:rPr>
        <w:t xml:space="preserve"> </w:t>
      </w:r>
      <w:r w:rsidDel="00000000" w:rsidR="00000000" w:rsidRPr="00000000">
        <w:rPr>
          <w:sz w:val="24"/>
          <w:szCs w:val="24"/>
          <w:rtl w:val="0"/>
        </w:rPr>
        <w:t xml:space="preserve">A Toyota do Brasil estará presente na 29ª edição da Agrishow, um dos principais eventos de tecnologia agrícola da América Latina, que acontecerá na cidade de Ribeirão Preto (SP), entre os dias 29 de abril a 03 de maio. Com um estande de 469m², a marca apresentará todo o seu portfólio, incluindo o Novo Corolla Cross 2025, que faz sua primeira aparição pública desde o seu lançamento. O espaço também terá um destaque especial para as versões de trabalho da picape Hilux, modelo reconhecido pela robustez, confiabilidade e qualidade.</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0" w:line="360" w:lineRule="auto"/>
        <w:ind w:left="1" w:right="-35" w:hanging="3"/>
        <w:jc w:val="both"/>
        <w:rPr>
          <w:sz w:val="24"/>
          <w:szCs w:val="24"/>
        </w:rPr>
      </w:pPr>
      <w:r w:rsidDel="00000000" w:rsidR="00000000" w:rsidRPr="00000000">
        <w:rPr>
          <w:rtl w:val="0"/>
        </w:rPr>
      </w:r>
    </w:p>
    <w:p w:rsidR="00000000" w:rsidDel="00000000" w:rsidP="00000000" w:rsidRDefault="00000000" w:rsidRPr="00000000" w14:paraId="00000009">
      <w:pPr>
        <w:keepNext w:val="1"/>
        <w:keepLines w:val="1"/>
        <w:spacing w:after="0" w:line="360" w:lineRule="auto"/>
        <w:ind w:left="1" w:right="-35" w:hanging="3"/>
        <w:jc w:val="both"/>
        <w:rPr>
          <w:sz w:val="24"/>
          <w:szCs w:val="24"/>
        </w:rPr>
      </w:pPr>
      <w:r w:rsidDel="00000000" w:rsidR="00000000" w:rsidRPr="00000000">
        <w:rPr>
          <w:sz w:val="24"/>
          <w:szCs w:val="24"/>
          <w:rtl w:val="0"/>
        </w:rPr>
        <w:t xml:space="preserve">Na edição de 2024 da Agrishow, a Toyota oferecerá condições especiais para produtores rurais e empresas interessadas em adquirir a Hilux Power Pack. Esta versão, que é dedicada ao trabalho, estará disponível a partir de R$198.923,80. "</w:t>
      </w:r>
      <w:r w:rsidDel="00000000" w:rsidR="00000000" w:rsidRPr="00000000">
        <w:rPr>
          <w:i w:val="1"/>
          <w:sz w:val="24"/>
          <w:szCs w:val="24"/>
          <w:rtl w:val="0"/>
        </w:rPr>
        <w:t xml:space="preserve">Estar presente na Agrishow mais uma vez reflete a relevância do público agrícola para nossa empresa. Este evento representa uma oportunidade ímpar para estreitarmos os laços com os produtores rurais e demonstrarmos, na prática, a confiabilidade da marca e tudo o que a Toyota pode oferecer para impulsionar seus negócios</w:t>
      </w:r>
      <w:r w:rsidDel="00000000" w:rsidR="00000000" w:rsidRPr="00000000">
        <w:rPr>
          <w:sz w:val="24"/>
          <w:szCs w:val="24"/>
          <w:rtl w:val="0"/>
        </w:rPr>
        <w:t xml:space="preserve">", comenta José Ricardo Gomes, diretor Comercial da Toyota do Brasil. </w:t>
      </w:r>
    </w:p>
    <w:p w:rsidR="00000000" w:rsidDel="00000000" w:rsidP="00000000" w:rsidRDefault="00000000" w:rsidRPr="00000000" w14:paraId="0000000A">
      <w:pPr>
        <w:keepNext w:val="1"/>
        <w:keepLines w:val="1"/>
        <w:spacing w:after="0" w:line="360" w:lineRule="auto"/>
        <w:ind w:left="1" w:right="-35" w:hanging="3"/>
        <w:jc w:val="both"/>
        <w:rPr>
          <w:sz w:val="24"/>
          <w:szCs w:val="24"/>
        </w:rPr>
      </w:pPr>
      <w:r w:rsidDel="00000000" w:rsidR="00000000" w:rsidRPr="00000000">
        <w:rPr>
          <w:rtl w:val="0"/>
        </w:rPr>
      </w:r>
    </w:p>
    <w:p w:rsidR="00000000" w:rsidDel="00000000" w:rsidP="00000000" w:rsidRDefault="00000000" w:rsidRPr="00000000" w14:paraId="0000000B">
      <w:pPr>
        <w:keepNext w:val="1"/>
        <w:keepLines w:val="1"/>
        <w:spacing w:after="0" w:line="360" w:lineRule="auto"/>
        <w:ind w:left="1" w:right="-35" w:hanging="3"/>
        <w:jc w:val="both"/>
        <w:rPr>
          <w:sz w:val="24"/>
          <w:szCs w:val="24"/>
        </w:rPr>
      </w:pPr>
      <w:r w:rsidDel="00000000" w:rsidR="00000000" w:rsidRPr="00000000">
        <w:rPr>
          <w:sz w:val="24"/>
          <w:szCs w:val="24"/>
          <w:rtl w:val="0"/>
        </w:rPr>
        <w:t xml:space="preserve">No evento também </w:t>
      </w:r>
      <w:r w:rsidDel="00000000" w:rsidR="00000000" w:rsidRPr="00000000">
        <w:rPr>
          <w:sz w:val="24"/>
          <w:szCs w:val="24"/>
          <w:rtl w:val="0"/>
        </w:rPr>
        <w:t xml:space="preserve">estará presente o </w:t>
      </w:r>
      <w:r w:rsidDel="00000000" w:rsidR="00000000" w:rsidRPr="00000000">
        <w:rPr>
          <w:sz w:val="24"/>
          <w:szCs w:val="24"/>
          <w:rtl w:val="0"/>
        </w:rPr>
        <w:t xml:space="preserve">grande sucesso da Toyota no segmento de SUVs grandes: o SW4 SRX Platinum.</w:t>
      </w:r>
    </w:p>
    <w:p w:rsidR="00000000" w:rsidDel="00000000" w:rsidP="00000000" w:rsidRDefault="00000000" w:rsidRPr="00000000" w14:paraId="0000000C">
      <w:pPr>
        <w:keepNext w:val="1"/>
        <w:keepLines w:val="1"/>
        <w:spacing w:after="0" w:line="360" w:lineRule="auto"/>
        <w:ind w:left="1" w:right="-35" w:hanging="3"/>
        <w:jc w:val="both"/>
        <w:rPr>
          <w:sz w:val="24"/>
          <w:szCs w:val="24"/>
        </w:rPr>
      </w:pPr>
      <w:r w:rsidDel="00000000" w:rsidR="00000000" w:rsidRPr="00000000">
        <w:rPr>
          <w:sz w:val="24"/>
          <w:szCs w:val="24"/>
          <w:rtl w:val="0"/>
        </w:rPr>
        <w:t xml:space="preserve">A configuração SRX Platinum reforça o portfólio do SUV líder em seu segmento por sua versatilidade: um veículo espaçoso e prático suficiente para atividades familiares, diferenciado para uso corporativo ou urbano e resistente a qualquer aventura </w:t>
      </w:r>
      <w:r w:rsidDel="00000000" w:rsidR="00000000" w:rsidRPr="00000000">
        <w:rPr>
          <w:i w:val="1"/>
          <w:sz w:val="24"/>
          <w:szCs w:val="24"/>
          <w:rtl w:val="0"/>
        </w:rPr>
        <w:t xml:space="preserve">off-road</w:t>
      </w:r>
      <w:r w:rsidDel="00000000" w:rsidR="00000000" w:rsidRPr="00000000">
        <w:rPr>
          <w:sz w:val="24"/>
          <w:szCs w:val="24"/>
          <w:rtl w:val="0"/>
        </w:rPr>
        <w:t xml:space="preserve">. A versão SRX Platinum reflete ainda melhor essas qualidades e atributos já reconhecidos pelos clientes da marca.</w:t>
      </w:r>
    </w:p>
    <w:p w:rsidR="00000000" w:rsidDel="00000000" w:rsidP="00000000" w:rsidRDefault="00000000" w:rsidRPr="00000000" w14:paraId="0000000D">
      <w:pPr>
        <w:keepNext w:val="1"/>
        <w:keepLines w:val="1"/>
        <w:spacing w:after="0" w:line="360" w:lineRule="auto"/>
        <w:ind w:left="1" w:right="-35" w:hanging="3"/>
        <w:jc w:val="both"/>
        <w:rPr>
          <w:strike w:val="1"/>
          <w:color w:val="ff0000"/>
          <w:sz w:val="24"/>
          <w:szCs w:val="24"/>
        </w:rPr>
      </w:pPr>
      <w:r w:rsidDel="00000000" w:rsidR="00000000" w:rsidRPr="00000000">
        <w:rPr>
          <w:rtl w:val="0"/>
        </w:rPr>
      </w:r>
    </w:p>
    <w:p w:rsidR="00000000" w:rsidDel="00000000" w:rsidP="00000000" w:rsidRDefault="00000000" w:rsidRPr="00000000" w14:paraId="0000000E">
      <w:pPr>
        <w:keepNext w:val="1"/>
        <w:keepLines w:val="1"/>
        <w:spacing w:after="0" w:line="360" w:lineRule="auto"/>
        <w:ind w:left="1" w:right="-35" w:hanging="3"/>
        <w:jc w:val="both"/>
        <w:rPr>
          <w:sz w:val="24"/>
          <w:szCs w:val="24"/>
        </w:rPr>
      </w:pPr>
      <w:r w:rsidDel="00000000" w:rsidR="00000000" w:rsidRPr="00000000">
        <w:rPr>
          <w:sz w:val="24"/>
          <w:szCs w:val="24"/>
          <w:rtl w:val="0"/>
        </w:rPr>
        <w:t xml:space="preserve">Os visitantes que passarem pela feira ainda terão a oportunidade de explorar toda a linha Toyota, incluindo o Corolla, Corolla Cross, RAV4, e toda variedade de versões da linha Hilux e SW4.  </w:t>
      </w:r>
    </w:p>
    <w:p w:rsidR="00000000" w:rsidDel="00000000" w:rsidP="00000000" w:rsidRDefault="00000000" w:rsidRPr="00000000" w14:paraId="0000000F">
      <w:pPr>
        <w:keepNext w:val="1"/>
        <w:keepLines w:val="1"/>
        <w:spacing w:after="0" w:line="360" w:lineRule="auto"/>
        <w:ind w:left="1" w:right="-35" w:hanging="3"/>
        <w:jc w:val="both"/>
        <w:rPr>
          <w:sz w:val="24"/>
          <w:szCs w:val="24"/>
        </w:rPr>
      </w:pPr>
      <w:r w:rsidDel="00000000" w:rsidR="00000000" w:rsidRPr="00000000">
        <w:rPr>
          <w:rtl w:val="0"/>
        </w:rPr>
      </w:r>
    </w:p>
    <w:p w:rsidR="00000000" w:rsidDel="00000000" w:rsidP="00000000" w:rsidRDefault="00000000" w:rsidRPr="00000000" w14:paraId="00000010">
      <w:pPr>
        <w:keepNext w:val="1"/>
        <w:keepLines w:val="1"/>
        <w:spacing w:after="0" w:line="360" w:lineRule="auto"/>
        <w:ind w:left="1" w:right="-35" w:hanging="3"/>
        <w:jc w:val="both"/>
        <w:rPr>
          <w:sz w:val="24"/>
          <w:szCs w:val="24"/>
        </w:rPr>
      </w:pPr>
      <w:r w:rsidDel="00000000" w:rsidR="00000000" w:rsidRPr="00000000">
        <w:rPr>
          <w:rtl w:val="0"/>
        </w:rPr>
      </w:r>
    </w:p>
    <w:p w:rsidR="00000000" w:rsidDel="00000000" w:rsidP="00000000" w:rsidRDefault="00000000" w:rsidRPr="00000000" w14:paraId="00000011">
      <w:pPr>
        <w:keepNext w:val="1"/>
        <w:keepLines w:val="1"/>
        <w:spacing w:after="0" w:line="360" w:lineRule="auto"/>
        <w:ind w:left="1" w:right="-35" w:hanging="3"/>
        <w:jc w:val="both"/>
        <w:rPr>
          <w:b w:val="1"/>
          <w:sz w:val="24"/>
          <w:szCs w:val="24"/>
        </w:rPr>
      </w:pPr>
      <w:r w:rsidDel="00000000" w:rsidR="00000000" w:rsidRPr="00000000">
        <w:rPr>
          <w:b w:val="1"/>
          <w:sz w:val="24"/>
          <w:szCs w:val="24"/>
          <w:rtl w:val="0"/>
        </w:rPr>
        <w:t xml:space="preserve">Condições especiais</w:t>
      </w:r>
    </w:p>
    <w:p w:rsidR="00000000" w:rsidDel="00000000" w:rsidP="00000000" w:rsidRDefault="00000000" w:rsidRPr="00000000" w14:paraId="00000012">
      <w:pPr>
        <w:keepNext w:val="1"/>
        <w:keepLines w:val="1"/>
        <w:spacing w:after="0" w:line="360" w:lineRule="auto"/>
        <w:ind w:left="1" w:right="-35" w:hanging="3"/>
        <w:jc w:val="both"/>
        <w:rPr>
          <w:sz w:val="24"/>
          <w:szCs w:val="24"/>
        </w:rPr>
      </w:pPr>
      <w:r w:rsidDel="00000000" w:rsidR="00000000" w:rsidRPr="00000000">
        <w:rPr>
          <w:sz w:val="24"/>
          <w:szCs w:val="24"/>
          <w:rtl w:val="0"/>
        </w:rPr>
        <w:t xml:space="preserve">Durante todos os dias do evento, os concessionários regionais estarão à disposição para consultas, fornecendo informações detalhadas sobre as ofertas exclusivas disponíveis para os produtores rurais e as empresas presentes. </w:t>
      </w:r>
    </w:p>
    <w:p w:rsidR="00000000" w:rsidDel="00000000" w:rsidP="00000000" w:rsidRDefault="00000000" w:rsidRPr="00000000" w14:paraId="00000013">
      <w:pPr>
        <w:keepNext w:val="1"/>
        <w:keepLines w:val="1"/>
        <w:spacing w:after="0" w:line="360" w:lineRule="auto"/>
        <w:ind w:left="1" w:right="-35" w:hanging="3"/>
        <w:jc w:val="both"/>
        <w:rPr>
          <w:sz w:val="24"/>
          <w:szCs w:val="24"/>
        </w:rPr>
      </w:pPr>
      <w:r w:rsidDel="00000000" w:rsidR="00000000" w:rsidRPr="00000000">
        <w:rPr>
          <w:rtl w:val="0"/>
        </w:rPr>
      </w:r>
    </w:p>
    <w:p w:rsidR="00000000" w:rsidDel="00000000" w:rsidP="00000000" w:rsidRDefault="00000000" w:rsidRPr="00000000" w14:paraId="00000014">
      <w:pPr>
        <w:keepNext w:val="1"/>
        <w:keepLines w:val="1"/>
        <w:spacing w:after="0" w:line="360" w:lineRule="auto"/>
        <w:ind w:left="1" w:right="-35" w:hanging="3"/>
        <w:jc w:val="both"/>
        <w:rPr>
          <w:sz w:val="24"/>
          <w:szCs w:val="24"/>
        </w:rPr>
      </w:pPr>
      <w:r w:rsidDel="00000000" w:rsidR="00000000" w:rsidRPr="00000000">
        <w:rPr>
          <w:sz w:val="24"/>
          <w:szCs w:val="24"/>
          <w:rtl w:val="0"/>
        </w:rPr>
        <w:t xml:space="preserve">A versão Power Pack é uma das preferidas para o trabalho no dia a dia pois agrega ao trabalhador, conforto, robustez e confiabilidade. Além disso, no quesito conveniência a versão chega equipada com sistema multimídia com tela de 9" sensível ao toque, rádio com MP3, entrada USB, conexão Bluetooth®, conexão para smartphones e tablets através do espelhamento Android Auto® e Apple CarPlay® sem fio.</w:t>
      </w:r>
    </w:p>
    <w:p w:rsidR="00000000" w:rsidDel="00000000" w:rsidP="00000000" w:rsidRDefault="00000000" w:rsidRPr="00000000" w14:paraId="00000015">
      <w:pPr>
        <w:keepNext w:val="1"/>
        <w:keepLines w:val="1"/>
        <w:spacing w:after="0" w:line="360" w:lineRule="auto"/>
        <w:ind w:left="1" w:right="-35" w:hanging="3"/>
        <w:jc w:val="both"/>
        <w:rPr>
          <w:sz w:val="24"/>
          <w:szCs w:val="24"/>
        </w:rPr>
      </w:pPr>
      <w:r w:rsidDel="00000000" w:rsidR="00000000" w:rsidRPr="00000000">
        <w:rPr>
          <w:rtl w:val="0"/>
        </w:rPr>
      </w:r>
    </w:p>
    <w:p w:rsidR="00000000" w:rsidDel="00000000" w:rsidP="00000000" w:rsidRDefault="00000000" w:rsidRPr="00000000" w14:paraId="00000016">
      <w:pPr>
        <w:keepNext w:val="1"/>
        <w:keepLines w:val="1"/>
        <w:spacing w:after="0" w:line="360" w:lineRule="auto"/>
        <w:ind w:left="1" w:right="-35" w:hanging="3"/>
        <w:jc w:val="both"/>
        <w:rPr>
          <w:sz w:val="24"/>
          <w:szCs w:val="24"/>
        </w:rPr>
      </w:pPr>
      <w:r w:rsidDel="00000000" w:rsidR="00000000" w:rsidRPr="00000000">
        <w:rPr>
          <w:sz w:val="24"/>
          <w:szCs w:val="24"/>
          <w:rtl w:val="0"/>
        </w:rPr>
        <w:t xml:space="preserve">O modelo ainda é referência em segurança, sendo equipada com airbags frontais, de cortina, laterais e de joelho para o motorista, Assistente de reboque (TSC) e de subida (HAC), Bloqueio do diferencial traseiro (com acionamento elétrico), Controle eletrônico de tração (A-TRC), Sistema auxiliar EBD (distribuição eletrônica de força de frenagem) nas 4 rodas, Controle eletrônico de estabilidade do veículo (VSC), entre outros itens. </w:t>
      </w:r>
    </w:p>
    <w:p w:rsidR="00000000" w:rsidDel="00000000" w:rsidP="00000000" w:rsidRDefault="00000000" w:rsidRPr="00000000" w14:paraId="00000017">
      <w:pPr>
        <w:keepNext w:val="1"/>
        <w:keepLines w:val="1"/>
        <w:spacing w:after="0" w:line="360" w:lineRule="auto"/>
        <w:ind w:left="1" w:right="-35" w:hanging="3"/>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8">
      <w:pPr>
        <w:keepNext w:val="1"/>
        <w:keepLines w:val="1"/>
        <w:spacing w:after="0" w:line="360" w:lineRule="auto"/>
        <w:ind w:left="0" w:right="-35" w:firstLine="0"/>
        <w:jc w:val="both"/>
        <w:rPr>
          <w:sz w:val="24"/>
          <w:szCs w:val="24"/>
        </w:rPr>
      </w:pPr>
      <w:r w:rsidDel="00000000" w:rsidR="00000000" w:rsidRPr="00000000">
        <w:rPr>
          <w:sz w:val="24"/>
          <w:szCs w:val="24"/>
          <w:rtl w:val="0"/>
        </w:rPr>
        <w:t xml:space="preserve">A versão Power Pack possui motor turbo diesel 2.8L de 204 cv de potência e 42,8 kgfm de torque</w:t>
      </w:r>
      <w:r w:rsidDel="00000000" w:rsidR="00000000" w:rsidRPr="00000000">
        <w:rPr>
          <w:strike w:val="1"/>
          <w:color w:val="ff0000"/>
          <w:sz w:val="24"/>
          <w:szCs w:val="24"/>
          <w:rtl w:val="0"/>
        </w:rPr>
        <w:t xml:space="preserve">,</w:t>
      </w:r>
      <w:r w:rsidDel="00000000" w:rsidR="00000000" w:rsidRPr="00000000">
        <w:rPr>
          <w:color w:val="ff0000"/>
          <w:sz w:val="24"/>
          <w:szCs w:val="24"/>
          <w:rtl w:val="0"/>
        </w:rPr>
        <w:t xml:space="preserve"> </w:t>
      </w:r>
      <w:r w:rsidDel="00000000" w:rsidR="00000000" w:rsidRPr="00000000">
        <w:rPr>
          <w:sz w:val="24"/>
          <w:szCs w:val="24"/>
          <w:rtl w:val="0"/>
        </w:rPr>
        <w:t xml:space="preserve">aliado a uma transmissão manual de seis marchas, oferecendo força e robustez para enfrentar qualquer situação.</w:t>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line="360" w:lineRule="auto"/>
        <w:ind w:left="1" w:right="-35" w:hanging="3"/>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Nosso compromisso vai além da exposição de produtos; é um momento de diálogo e troca de experiências com os produtores rurais e visitantes do evento, onde podemos compreender suas necessidades e atendê-las sempre da melhor forma</w:t>
      </w:r>
      <w:r w:rsidDel="00000000" w:rsidR="00000000" w:rsidRPr="00000000">
        <w:rPr>
          <w:sz w:val="24"/>
          <w:szCs w:val="24"/>
          <w:rtl w:val="0"/>
        </w:rPr>
        <w:t xml:space="preserve">", ressalta José Ricardo Gomes, diretor Comercial da Toyota do Brasil.</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line="360" w:lineRule="auto"/>
        <w:ind w:left="1" w:right="-35" w:hanging="3"/>
        <w:jc w:val="both"/>
        <w:rPr>
          <w:sz w:val="24"/>
          <w:szCs w:val="24"/>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0" w:line="360" w:lineRule="auto"/>
        <w:jc w:val="both"/>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____________________________________________________________</w:t>
      </w:r>
    </w:p>
    <w:p w:rsidR="00000000" w:rsidDel="00000000" w:rsidP="00000000" w:rsidRDefault="00000000" w:rsidRPr="00000000" w14:paraId="0000001C">
      <w:pPr>
        <w:spacing w:after="0" w:line="360" w:lineRule="auto"/>
        <w:jc w:val="both"/>
        <w:rPr>
          <w:rFonts w:ascii="Aptos" w:cs="Aptos" w:eastAsia="Aptos" w:hAnsi="Aptos"/>
          <w:i w:val="1"/>
          <w:sz w:val="18"/>
          <w:szCs w:val="18"/>
        </w:rPr>
      </w:pPr>
      <w:r w:rsidDel="00000000" w:rsidR="00000000" w:rsidRPr="00000000">
        <w:rPr>
          <w:rFonts w:ascii="Aptos" w:cs="Aptos" w:eastAsia="Aptos" w:hAnsi="Aptos"/>
          <w:b w:val="1"/>
          <w:i w:val="1"/>
          <w:sz w:val="18"/>
          <w:szCs w:val="18"/>
          <w:rtl w:val="0"/>
        </w:rPr>
        <w:t xml:space="preserve">Sobre a Toyota do Brasil</w:t>
      </w:r>
      <w:r w:rsidDel="00000000" w:rsidR="00000000" w:rsidRPr="00000000">
        <w:rPr>
          <w:rtl w:val="0"/>
        </w:rPr>
      </w:r>
    </w:p>
    <w:p w:rsidR="00000000" w:rsidDel="00000000" w:rsidP="00000000" w:rsidRDefault="00000000" w:rsidRPr="00000000" w14:paraId="0000001D">
      <w:pPr>
        <w:spacing w:after="0" w:line="360" w:lineRule="auto"/>
        <w:jc w:val="both"/>
        <w:rPr>
          <w:rFonts w:ascii="Aptos" w:cs="Aptos" w:eastAsia="Aptos" w:hAnsi="Aptos"/>
          <w:i w:val="1"/>
          <w:sz w:val="18"/>
          <w:szCs w:val="18"/>
        </w:rPr>
      </w:pPr>
      <w:r w:rsidDel="00000000" w:rsidR="00000000" w:rsidRPr="00000000">
        <w:rPr>
          <w:rFonts w:ascii="Aptos" w:cs="Aptos" w:eastAsia="Aptos" w:hAnsi="Aptos"/>
          <w:i w:val="1"/>
          <w:sz w:val="18"/>
          <w:szCs w:val="18"/>
          <w:rtl w:val="0"/>
        </w:rPr>
        <w:t xml:space="preserve">A Toyota do Brasil está presente no País há 66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75 mil carros eletrificados com a tecnologia híbrida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 Toyota Global e Toyota do Brasil.</w:t>
      </w:r>
    </w:p>
    <w:p w:rsidR="00000000" w:rsidDel="00000000" w:rsidP="00000000" w:rsidRDefault="00000000" w:rsidRPr="00000000" w14:paraId="0000001E">
      <w:pPr>
        <w:spacing w:after="0" w:line="240" w:lineRule="auto"/>
        <w:jc w:val="both"/>
        <w:rPr>
          <w:i w:val="1"/>
        </w:rPr>
      </w:pPr>
      <w:r w:rsidDel="00000000" w:rsidR="00000000" w:rsidRPr="00000000">
        <w:rPr>
          <w:rtl w:val="0"/>
        </w:rPr>
      </w:r>
    </w:p>
    <w:p w:rsidR="00000000" w:rsidDel="00000000" w:rsidP="00000000" w:rsidRDefault="00000000" w:rsidRPr="00000000" w14:paraId="0000001F">
      <w:pPr>
        <w:spacing w:after="0" w:line="240" w:lineRule="auto"/>
        <w:jc w:val="both"/>
        <w:rPr>
          <w:b w:val="1"/>
        </w:rPr>
      </w:pPr>
      <w:r w:rsidDel="00000000" w:rsidR="00000000" w:rsidRPr="00000000">
        <w:rPr>
          <w:b w:val="1"/>
          <w:rtl w:val="0"/>
        </w:rPr>
        <w:t xml:space="preserve">Mais informações</w:t>
      </w:r>
    </w:p>
    <w:p w:rsidR="00000000" w:rsidDel="00000000" w:rsidP="00000000" w:rsidRDefault="00000000" w:rsidRPr="00000000" w14:paraId="00000020">
      <w:pPr>
        <w:spacing w:after="0" w:line="240" w:lineRule="auto"/>
        <w:jc w:val="both"/>
        <w:rPr>
          <w:b w:val="1"/>
        </w:rPr>
      </w:pPr>
      <w:r w:rsidDel="00000000" w:rsidR="00000000" w:rsidRPr="00000000">
        <w:rPr>
          <w:b w:val="1"/>
          <w:rtl w:val="0"/>
        </w:rPr>
        <w:t xml:space="preserve">Toyota do Brasil – Departamento de Comunicação</w:t>
      </w:r>
    </w:p>
    <w:p w:rsidR="00000000" w:rsidDel="00000000" w:rsidP="00000000" w:rsidRDefault="00000000" w:rsidRPr="00000000" w14:paraId="00000021">
      <w:pPr>
        <w:spacing w:after="0" w:line="240" w:lineRule="auto"/>
        <w:jc w:val="both"/>
        <w:rPr/>
      </w:pPr>
      <w:r w:rsidDel="00000000" w:rsidR="00000000" w:rsidRPr="00000000">
        <w:rPr>
          <w:rtl w:val="0"/>
        </w:rPr>
        <w:t xml:space="preserve">Marcelo Cosentino – </w:t>
      </w:r>
      <w:hyperlink r:id="rId7">
        <w:r w:rsidDel="00000000" w:rsidR="00000000" w:rsidRPr="00000000">
          <w:rPr>
            <w:color w:val="000000"/>
            <w:u w:val="single"/>
            <w:rtl w:val="0"/>
          </w:rPr>
          <w:t xml:space="preserve">mcosentino@toyota.com.br</w:t>
        </w:r>
      </w:hyperlink>
      <w:r w:rsidDel="00000000" w:rsidR="00000000" w:rsidRPr="00000000">
        <w:rPr>
          <w:rtl w:val="0"/>
        </w:rPr>
      </w:r>
    </w:p>
    <w:p w:rsidR="00000000" w:rsidDel="00000000" w:rsidP="00000000" w:rsidRDefault="00000000" w:rsidRPr="00000000" w14:paraId="00000022">
      <w:pPr>
        <w:spacing w:after="0" w:line="240" w:lineRule="auto"/>
        <w:jc w:val="both"/>
        <w:rPr/>
      </w:pPr>
      <w:r w:rsidDel="00000000" w:rsidR="00000000" w:rsidRPr="00000000">
        <w:rPr>
          <w:rtl w:val="0"/>
        </w:rPr>
        <w:t xml:space="preserve">Kelly Buarque – </w:t>
      </w:r>
      <w:r w:rsidDel="00000000" w:rsidR="00000000" w:rsidRPr="00000000">
        <w:rPr>
          <w:u w:val="single"/>
          <w:rtl w:val="0"/>
        </w:rPr>
        <w:t xml:space="preserve">kbuarque@toyota.com.br</w:t>
      </w:r>
      <w:r w:rsidDel="00000000" w:rsidR="00000000" w:rsidRPr="00000000">
        <w:rPr>
          <w:rtl w:val="0"/>
        </w:rPr>
        <w:t xml:space="preserve"> </w:t>
      </w:r>
    </w:p>
    <w:p w:rsidR="00000000" w:rsidDel="00000000" w:rsidP="00000000" w:rsidRDefault="00000000" w:rsidRPr="00000000" w14:paraId="00000023">
      <w:pPr>
        <w:spacing w:after="0" w:line="240" w:lineRule="auto"/>
        <w:jc w:val="both"/>
        <w:rPr>
          <w:u w:val="single"/>
        </w:rPr>
      </w:pPr>
      <w:r w:rsidDel="00000000" w:rsidR="00000000" w:rsidRPr="00000000">
        <w:rPr>
          <w:rtl w:val="0"/>
        </w:rPr>
        <w:t xml:space="preserve">Kessia Santos – </w:t>
      </w:r>
      <w:hyperlink r:id="rId8">
        <w:r w:rsidDel="00000000" w:rsidR="00000000" w:rsidRPr="00000000">
          <w:rPr>
            <w:u w:val="single"/>
            <w:rtl w:val="0"/>
          </w:rPr>
          <w:t xml:space="preserve">kosantos@toyota.com.br</w:t>
        </w:r>
      </w:hyperlink>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t xml:space="preserve"> </w:t>
      </w:r>
    </w:p>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Giusti Creative PR </w:t>
      </w:r>
    </w:p>
    <w:p w:rsidR="00000000" w:rsidDel="00000000" w:rsidP="00000000" w:rsidRDefault="00000000" w:rsidRPr="00000000" w14:paraId="00000026">
      <w:pPr>
        <w:spacing w:after="0" w:line="240" w:lineRule="auto"/>
        <w:ind w:left="2" w:firstLine="0"/>
        <w:jc w:val="both"/>
        <w:rPr>
          <w:u w:val="single"/>
        </w:rPr>
      </w:pPr>
      <w:r w:rsidDel="00000000" w:rsidR="00000000" w:rsidRPr="00000000">
        <w:rPr>
          <w:u w:val="single"/>
          <w:rtl w:val="0"/>
        </w:rPr>
        <w:t xml:space="preserve">toyota@giusticom.com.br </w:t>
      </w:r>
    </w:p>
    <w:p w:rsidR="00000000" w:rsidDel="00000000" w:rsidP="00000000" w:rsidRDefault="00000000" w:rsidRPr="00000000" w14:paraId="00000027">
      <w:pPr>
        <w:spacing w:after="0" w:line="240" w:lineRule="auto"/>
        <w:ind w:left="2" w:firstLine="0"/>
        <w:jc w:val="both"/>
        <w:rPr>
          <w:u w:val="single"/>
        </w:rPr>
      </w:pPr>
      <w:r w:rsidDel="00000000" w:rsidR="00000000" w:rsidRPr="00000000">
        <w:rPr>
          <w:rtl w:val="0"/>
        </w:rPr>
      </w:r>
    </w:p>
    <w:p w:rsidR="00000000" w:rsidDel="00000000" w:rsidP="00000000" w:rsidRDefault="00000000" w:rsidRPr="00000000" w14:paraId="00000028">
      <w:pPr>
        <w:spacing w:after="0" w:line="240" w:lineRule="auto"/>
        <w:ind w:left="2" w:firstLine="0"/>
        <w:jc w:val="both"/>
        <w:rPr>
          <w:b w:val="1"/>
        </w:rPr>
      </w:pPr>
      <w:r w:rsidDel="00000000" w:rsidR="00000000" w:rsidRPr="00000000">
        <w:rPr>
          <w:b w:val="1"/>
          <w:rtl w:val="0"/>
        </w:rPr>
        <w:t xml:space="preserve">Guilherme Magna – (11) 98600-8988</w:t>
      </w:r>
    </w:p>
    <w:p w:rsidR="00000000" w:rsidDel="00000000" w:rsidP="00000000" w:rsidRDefault="00000000" w:rsidRPr="00000000" w14:paraId="00000029">
      <w:pPr>
        <w:spacing w:after="0" w:line="240" w:lineRule="auto"/>
        <w:ind w:hanging="2"/>
        <w:jc w:val="both"/>
        <w:rPr>
          <w:b w:val="1"/>
        </w:rPr>
      </w:pPr>
      <w:r w:rsidDel="00000000" w:rsidR="00000000" w:rsidRPr="00000000">
        <w:rPr>
          <w:b w:val="1"/>
          <w:rtl w:val="0"/>
        </w:rPr>
        <w:t xml:space="preserve">Roberta Assis - (11) 98420-3617</w:t>
      </w:r>
    </w:p>
    <w:p w:rsidR="00000000" w:rsidDel="00000000" w:rsidP="00000000" w:rsidRDefault="00000000" w:rsidRPr="00000000" w14:paraId="0000002A">
      <w:pPr>
        <w:spacing w:after="0" w:line="240" w:lineRule="auto"/>
        <w:ind w:hanging="2"/>
        <w:jc w:val="both"/>
        <w:rPr>
          <w:b w:val="1"/>
        </w:rPr>
      </w:pPr>
      <w:r w:rsidDel="00000000" w:rsidR="00000000" w:rsidRPr="00000000">
        <w:rPr>
          <w:b w:val="1"/>
          <w:rtl w:val="0"/>
        </w:rPr>
        <w:t xml:space="preserve">Guilherme Esteves - (11) 94240-8221</w:t>
      </w:r>
    </w:p>
    <w:p w:rsidR="00000000" w:rsidDel="00000000" w:rsidP="00000000" w:rsidRDefault="00000000" w:rsidRPr="00000000" w14:paraId="0000002B">
      <w:pPr>
        <w:spacing w:after="0" w:line="240" w:lineRule="auto"/>
        <w:ind w:left="2" w:firstLine="0"/>
        <w:jc w:val="both"/>
        <w:rPr/>
      </w:pPr>
      <w:r w:rsidDel="00000000" w:rsidR="00000000" w:rsidRPr="00000000">
        <w:rPr>
          <w:b w:val="1"/>
          <w:rtl w:val="0"/>
        </w:rPr>
        <w:t xml:space="preserve">Ana Carolina Cachoni – (11) 99394-8200</w:t>
      </w: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-199978</wp:posOffset>
          </wp:positionV>
          <wp:extent cx="757237" cy="555307"/>
          <wp:effectExtent b="0" l="0" r="0" t="0"/>
          <wp:wrapSquare wrapText="bothSides" distB="114300" distT="114300" distL="114300" distR="114300"/>
          <wp:docPr id="28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7" cy="555307"/>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1943100</wp:posOffset>
              </wp:positionH>
              <wp:positionV relativeFrom="paragraph">
                <wp:posOffset>0</wp:posOffset>
              </wp:positionV>
              <wp:extent cx="843915" cy="843915"/>
              <wp:effectExtent b="0" l="0" r="0" t="0"/>
              <wp:wrapSquare wrapText="bothSides" distB="0" distT="0" distL="0" distR="0"/>
              <wp:docPr descr="• PUBLIC 公開" id="281"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1943100</wp:posOffset>
              </wp:positionH>
              <wp:positionV relativeFrom="paragraph">
                <wp:posOffset>0</wp:posOffset>
              </wp:positionV>
              <wp:extent cx="843915" cy="843915"/>
              <wp:effectExtent b="0" l="0" r="0" t="0"/>
              <wp:wrapSquare wrapText="bothSides" distB="0" distT="0" distL="0" distR="0"/>
              <wp:docPr descr="• PUBLIC 公開" id="281"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843915" cy="84391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1943100</wp:posOffset>
              </wp:positionH>
              <wp:positionV relativeFrom="paragraph">
                <wp:posOffset>0</wp:posOffset>
              </wp:positionV>
              <wp:extent cx="843915" cy="843915"/>
              <wp:effectExtent b="0" l="0" r="0" t="0"/>
              <wp:wrapSquare wrapText="bothSides" distB="0" distT="0" distL="0" distR="0"/>
              <wp:docPr descr="• PUBLIC 公開" id="280"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1943100</wp:posOffset>
              </wp:positionH>
              <wp:positionV relativeFrom="paragraph">
                <wp:posOffset>0</wp:posOffset>
              </wp:positionV>
              <wp:extent cx="843915" cy="843915"/>
              <wp:effectExtent b="0" l="0" r="0" t="0"/>
              <wp:wrapSquare wrapText="bothSides" distB="0" distT="0" distL="0" distR="0"/>
              <wp:docPr descr="• PUBLIC 公開" id="280" name="image2.png"/>
              <a:graphic>
                <a:graphicData uri="http://schemas.openxmlformats.org/drawingml/2006/picture">
                  <pic:pic>
                    <pic:nvPicPr>
                      <pic:cNvPr descr="• PUBLIC 公開" id="0" name="image2.png"/>
                      <pic:cNvPicPr preferRelativeResize="0"/>
                    </pic:nvPicPr>
                    <pic:blipFill>
                      <a:blip r:embed="rId1"/>
                      <a:srcRect/>
                      <a:stretch>
                        <a:fillRect/>
                      </a:stretch>
                    </pic:blipFill>
                    <pic:spPr>
                      <a:xfrm>
                        <a:off x="0" y="0"/>
                        <a:ext cx="843915" cy="8439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53" w:customStyle="1">
    <w:name w:val="Table Normal53"/>
    <w:tblPr>
      <w:tblCellMar>
        <w:top w:w="0.0" w:type="dxa"/>
        <w:left w:w="0.0" w:type="dxa"/>
        <w:bottom w:w="0.0" w:type="dxa"/>
        <w:right w:w="0.0" w:type="dxa"/>
      </w:tblCellMar>
    </w:tblPr>
  </w:style>
  <w:style w:type="table" w:styleId="TableNormal52" w:customStyle="1">
    <w:name w:val="Table Normal52"/>
    <w:tblPr>
      <w:tblCellMar>
        <w:top w:w="0.0" w:type="dxa"/>
        <w:left w:w="0.0" w:type="dxa"/>
        <w:bottom w:w="0.0" w:type="dxa"/>
        <w:right w:w="0.0" w:type="dxa"/>
      </w:tblCellMar>
    </w:tblPr>
  </w:style>
  <w:style w:type="table" w:styleId="TableNormal51" w:customStyle="1">
    <w:name w:val="Table Normal51"/>
    <w:tblPr>
      <w:tblCellMar>
        <w:top w:w="0.0" w:type="dxa"/>
        <w:left w:w="0.0" w:type="dxa"/>
        <w:bottom w:w="0.0" w:type="dxa"/>
        <w:right w:w="0.0" w:type="dxa"/>
      </w:tblCellMar>
    </w:tblPr>
  </w:style>
  <w:style w:type="table" w:styleId="TableNormal50" w:customStyle="1">
    <w:name w:val="Table Normal50"/>
    <w:tblPr>
      <w:tblCellMar>
        <w:top w:w="0.0" w:type="dxa"/>
        <w:left w:w="0.0" w:type="dxa"/>
        <w:bottom w:w="0.0" w:type="dxa"/>
        <w:right w:w="0.0" w:type="dxa"/>
      </w:tblCellMar>
    </w:tblPr>
  </w:style>
  <w:style w:type="table" w:styleId="TableNormal49" w:customStyle="1">
    <w:name w:val="Table Normal49"/>
    <w:tblPr>
      <w:tblCellMar>
        <w:top w:w="0.0" w:type="dxa"/>
        <w:left w:w="0.0" w:type="dxa"/>
        <w:bottom w:w="0.0" w:type="dxa"/>
        <w:right w:w="0.0" w:type="dxa"/>
      </w:tblCellMar>
    </w:tblPr>
  </w:style>
  <w:style w:type="table" w:styleId="TableNormal48" w:customStyle="1">
    <w:name w:val="Table Normal48"/>
    <w:tblPr>
      <w:tblCellMar>
        <w:top w:w="0.0" w:type="dxa"/>
        <w:left w:w="0.0" w:type="dxa"/>
        <w:bottom w:w="0.0" w:type="dxa"/>
        <w:right w:w="0.0" w:type="dxa"/>
      </w:tblCellMar>
    </w:tblPr>
  </w:style>
  <w:style w:type="table" w:styleId="TableNormal47" w:customStyle="1">
    <w:name w:val="Table Normal47"/>
    <w:tblPr>
      <w:tblCellMar>
        <w:top w:w="0.0" w:type="dxa"/>
        <w:left w:w="0.0" w:type="dxa"/>
        <w:bottom w:w="0.0" w:type="dxa"/>
        <w:right w:w="0.0" w:type="dxa"/>
      </w:tblCellMar>
    </w:tblPr>
  </w:style>
  <w:style w:type="table" w:styleId="TableNormal46" w:customStyle="1">
    <w:name w:val="Table Normal46"/>
    <w:tblPr>
      <w:tblCellMar>
        <w:top w:w="0.0" w:type="dxa"/>
        <w:left w:w="0.0" w:type="dxa"/>
        <w:bottom w:w="0.0" w:type="dxa"/>
        <w:right w:w="0.0" w:type="dxa"/>
      </w:tblCellMar>
    </w:tblPr>
  </w:style>
  <w:style w:type="table" w:styleId="TableNormal45" w:customStyle="1">
    <w:name w:val="Table Normal45"/>
    <w:tblPr>
      <w:tblCellMar>
        <w:top w:w="0.0" w:type="dxa"/>
        <w:left w:w="0.0" w:type="dxa"/>
        <w:bottom w:w="0.0" w:type="dxa"/>
        <w:right w:w="0.0" w:type="dxa"/>
      </w:tblCellMar>
    </w:tblPr>
  </w:style>
  <w:style w:type="table" w:styleId="TableNormal44" w:customStyle="1">
    <w:name w:val="Table Normal44"/>
    <w:tblPr>
      <w:tblCellMar>
        <w:top w:w="0.0" w:type="dxa"/>
        <w:left w:w="0.0" w:type="dxa"/>
        <w:bottom w:w="0.0" w:type="dxa"/>
        <w:right w:w="0.0" w:type="dxa"/>
      </w:tblCellMar>
    </w:tblPr>
  </w:style>
  <w:style w:type="table" w:styleId="TableNormal43" w:customStyle="1">
    <w:name w:val="Table Normal43"/>
    <w:tblPr>
      <w:tblCellMar>
        <w:top w:w="0.0" w:type="dxa"/>
        <w:left w:w="0.0" w:type="dxa"/>
        <w:bottom w:w="0.0" w:type="dxa"/>
        <w:right w:w="0.0" w:type="dxa"/>
      </w:tblCellMar>
    </w:tblPr>
  </w:style>
  <w:style w:type="table" w:styleId="TableNormal42" w:customStyle="1">
    <w:name w:val="Table Normal42"/>
    <w:tblPr>
      <w:tblCellMar>
        <w:top w:w="0.0" w:type="dxa"/>
        <w:left w:w="0.0" w:type="dxa"/>
        <w:bottom w:w="0.0" w:type="dxa"/>
        <w:right w:w="0.0" w:type="dxa"/>
      </w:tblCellMar>
    </w:tblPr>
  </w:style>
  <w:style w:type="table" w:styleId="TableNormal41" w:customStyle="1">
    <w:name w:val="Table Normal41"/>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table" w:styleId="TableNormal39" w:customStyle="1">
    <w:name w:val="Table Normal39"/>
    <w:tblPr>
      <w:tblCellMar>
        <w:top w:w="0.0" w:type="dxa"/>
        <w:left w:w="0.0" w:type="dxa"/>
        <w:bottom w:w="0.0" w:type="dxa"/>
        <w:right w:w="0.0" w:type="dxa"/>
      </w:tblCellMar>
    </w:tblPr>
  </w:style>
  <w:style w:type="table" w:styleId="TableNormal38" w:customStyle="1">
    <w:name w:val="Table Normal38"/>
    <w:tblPr>
      <w:tblCellMar>
        <w:top w:w="0.0" w:type="dxa"/>
        <w:left w:w="0.0" w:type="dxa"/>
        <w:bottom w:w="0.0" w:type="dxa"/>
        <w:right w:w="0.0" w:type="dxa"/>
      </w:tblCellMar>
    </w:tblPr>
  </w:style>
  <w:style w:type="table" w:styleId="TableNormal37" w:customStyle="1">
    <w:name w:val="Table Normal37"/>
    <w:tblPr>
      <w:tblCellMar>
        <w:top w:w="0.0" w:type="dxa"/>
        <w:left w:w="0.0" w:type="dxa"/>
        <w:bottom w:w="0.0" w:type="dxa"/>
        <w:right w:w="0.0" w:type="dxa"/>
      </w:tblCellMar>
    </w:tblPr>
  </w:style>
  <w:style w:type="table" w:styleId="TableNormal36" w:customStyle="1">
    <w:name w:val="Table Normal36"/>
    <w:tblPr>
      <w:tblCellMar>
        <w:top w:w="0.0" w:type="dxa"/>
        <w:left w:w="0.0" w:type="dxa"/>
        <w:bottom w:w="0.0" w:type="dxa"/>
        <w:right w:w="0.0" w:type="dxa"/>
      </w:tblCellMar>
    </w:tblPr>
  </w:style>
  <w:style w:type="table" w:styleId="TableNormal35" w:customStyle="1">
    <w:name w:val="Table Normal35"/>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7" w:customStyle="1">
    <w:name w:val="Table Normal27"/>
    <w:tblPr>
      <w:tblCellMar>
        <w:top w:w="0.0" w:type="dxa"/>
        <w:left w:w="0.0" w:type="dxa"/>
        <w:bottom w:w="0.0" w:type="dxa"/>
        <w:right w:w="0.0" w:type="dxa"/>
      </w:tblCellMar>
    </w:tblPr>
  </w:style>
  <w:style w:type="table" w:styleId="TableNormal26" w:customStyle="1">
    <w:name w:val="Table Normal26"/>
    <w:tblPr>
      <w:tblCellMar>
        <w:top w:w="0.0" w:type="dxa"/>
        <w:left w:w="0.0" w:type="dxa"/>
        <w:bottom w:w="0.0" w:type="dxa"/>
        <w:right w:w="0.0" w:type="dxa"/>
      </w:tblCellMar>
    </w:tblPr>
  </w:style>
  <w:style w:type="table" w:styleId="TableNormal25" w:customStyle="1">
    <w:name w:val="Table Normal25"/>
    <w:tblPr>
      <w:tblCellMar>
        <w:top w:w="0.0" w:type="dxa"/>
        <w:left w:w="0.0" w:type="dxa"/>
        <w:bottom w:w="0.0" w:type="dxa"/>
        <w:right w:w="0.0" w:type="dxa"/>
      </w:tblCellMar>
    </w:tblPr>
  </w:style>
  <w:style w:type="table" w:styleId="TableNormal24" w:customStyle="1">
    <w:name w:val="Table Normal24"/>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a" w:customStyle="1">
    <w:name w:val="Table Normal3"/>
    <w:tblPr>
      <w:tblCellMar>
        <w:top w:w="0.0" w:type="dxa"/>
        <w:left w:w="0.0" w:type="dxa"/>
        <w:bottom w:w="0.0" w:type="dxa"/>
        <w:right w:w="0.0" w:type="dxa"/>
      </w:tblCellMar>
    </w:tblPr>
  </w:style>
  <w:style w:type="table" w:styleId="TableNormal2a" w:customStyle="1">
    <w:name w:val="Table Normal2"/>
    <w:tblPr>
      <w:tblCellMar>
        <w:top w:w="0.0" w:type="dxa"/>
        <w:left w:w="0.0" w:type="dxa"/>
        <w:bottom w:w="0.0" w:type="dxa"/>
        <w:right w:w="0.0" w:type="dxa"/>
      </w:tblCellMar>
    </w:tblPr>
  </w:style>
  <w:style w:type="table" w:styleId="TableNormal1a"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character" w:styleId="MenoPendente">
    <w:name w:val="Unresolved Mention"/>
    <w:basedOn w:val="Fontepargpadro"/>
    <w:uiPriority w:val="99"/>
    <w:semiHidden w:val="1"/>
    <w:unhideWhenUsed w:val="1"/>
    <w:rsid w:val="00BB394B"/>
    <w:rPr>
      <w:color w:val="605e5c"/>
      <w:shd w:color="auto" w:fill="e1dfdd" w:val="clear"/>
    </w:rPr>
  </w:style>
  <w:style w:type="character" w:styleId="Meno">
    <w:name w:val="Mention"/>
    <w:basedOn w:val="Fontepargpadro"/>
    <w:uiPriority w:val="99"/>
    <w:unhideWhenUsed w:val="1"/>
    <w:rsid w:val="009955C2"/>
    <w:rPr>
      <w:color w:val="2b579a"/>
      <w:shd w:color="auto" w:fill="e1dfdd" w:val="clear"/>
    </w:rPr>
  </w:style>
  <w:style w:type="character" w:styleId="ui-provider" w:customStyle="1">
    <w:name w:val="ui-provider"/>
    <w:basedOn w:val="Fontepargpadro"/>
    <w:rsid w:val="00D9044F"/>
  </w:style>
  <w:style w:type="table" w:styleId="a"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0"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cosentino@toyota.com.br" TargetMode="External"/><Relationship Id="rId8" Type="http://schemas.openxmlformats.org/officeDocument/2006/relationships/hyperlink" Target="mailto:kosantos@toyota.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LUwHs2x+ISttaqPJcH4iKeoZw==">CgMxLjA4AHIhMTN0NVRPclZRdUllSFAzaDRubEtfYUpmT2RiaEZVUl83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2024-04-24T20:41:00Z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