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581150" cy="43815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right"/>
              <w:rPr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</w:rPr>
              <w:drawing>
                <wp:inline distB="114300" distT="114300" distL="114300" distR="114300">
                  <wp:extent cx="1985963" cy="603733"/>
                  <wp:effectExtent b="0" l="0" r="0" t="0"/>
                  <wp:docPr id="5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963" cy="603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Toyota GAZOO Racing está pronta para 2023 com o novo GR010 HYBRID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</w:rPr>
        <w:drawing>
          <wp:inline distB="114300" distT="114300" distL="114300" distR="114300">
            <wp:extent cx="2857500" cy="19050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jc w:val="center"/>
        <w:rPr>
          <w:i w:val="1"/>
          <w:color w:val="222222"/>
          <w:sz w:val="16"/>
          <w:szCs w:val="16"/>
        </w:rPr>
      </w:pPr>
      <w:r w:rsidDel="00000000" w:rsidR="00000000" w:rsidRPr="00000000">
        <w:rPr>
          <w:i w:val="1"/>
          <w:color w:val="222222"/>
          <w:sz w:val="16"/>
          <w:szCs w:val="16"/>
          <w:rtl w:val="0"/>
        </w:rPr>
        <w:t xml:space="preserve">Toyota GR010 pronto para a temporada 2023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Toyota GAZOO Racing revelou o GR010 HYBRID Hypercar revisado para a temporada de 2023, quando defenderá seu status de número um contra novos concorrentes no início de uma era emocionante para as 24 Horas de Le Mans e o FIA World Endurance Championship (WEC).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 incrível sucesso da equipe, que até o momento inclui cinco vitórias consecutivas em Le Mans e quatro títulos duplos consecutivos do WEC, será desafiado por mais participantes do Hypercar em uma temporada de sete corridas em 2023, que inclui a edição do centenário das 24 horas de Le Mans. 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Cadillac, Ferrari, Porsche e Vanwall se juntam à competição do Hypercar existente da Peugeot e Glickenhaus para formar um grid de 13 carros no WEC, com ainda mais carros em Le Mans. Espera-se uma competição disputada pelo maior prêmio em corridas de endurance. 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 GR010 HYBRID foi o primeiro Hypercar a romper barreiras em janeiro de 2021 e passou por um programa de evoluções detalhadas, como fez em 2022, para otimizar a confiabilidade e a eficiência. 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2857500" cy="1905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jc w:val="center"/>
        <w:rPr>
          <w:i w:val="1"/>
          <w:color w:val="222222"/>
          <w:sz w:val="16"/>
          <w:szCs w:val="16"/>
        </w:rPr>
      </w:pPr>
      <w:r w:rsidDel="00000000" w:rsidR="00000000" w:rsidRPr="00000000">
        <w:rPr>
          <w:i w:val="1"/>
          <w:color w:val="222222"/>
          <w:sz w:val="16"/>
          <w:szCs w:val="16"/>
          <w:rtl w:val="0"/>
        </w:rPr>
        <w:t xml:space="preserve">Hypercar recebeu mudanças na carroceria e novos dispositivos aerodinâmicos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jc w:val="cente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Foram realizados ajustes no powertrain Racing Hybrid de alto desempenho, que consiste em um motor de 3,5 litros e 520kW (707PS), e um motor elétrico de 200kW (272PS), para reduzir o peso e melhorar a confiabilidade, explorando o conhecimento exclusivo adquirido em mais de uma década de experiência com powertrains híbridos no Le Mans. 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As mudanças mais visíveis no 2023 evolution GR010 HYBRID referem-se à carroceria. Novos dispositivos aerodinâmicos de estabilização nas curvas dianteiras e uma placa de extremidade traseira menor, bem como outras mudanças de detalhes, foram implementados para melhorar a dirigibilidade e a consistência aerodinâmica. 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Modificações também foram realizadas na carroceria com o objetivo de aprimorar o resfriamento do freio e permitir mudanças rápidas nas opções de resfriamento durante uma corrida, alcançadas através de novas aberturas na frente e na traseira. Além disso, foi implementado um layout de farol revisado para otimizar a visibilidade durante a condução noturna. 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Sob a carroceria, o GR010 HYBRID foi submetido a um programa de redução de peso, reduzindo para o mínimo de 1040 kg permitido pelos regulamentos. Isso aborda os compromissos realizados durante a fase de design do carro em 2020, que foram resultados de como os regulamentos do Hypercar evoluíram. 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Rule="auto"/>
        <w:jc w:val="center"/>
        <w:rPr>
          <w:color w:val="222222"/>
        </w:rPr>
      </w:pPr>
      <w:r w:rsidDel="00000000" w:rsidR="00000000" w:rsidRPr="00000000">
        <w:rPr>
          <w:color w:val="222222"/>
        </w:rPr>
        <w:drawing>
          <wp:inline distB="114300" distT="114300" distL="114300" distR="114300">
            <wp:extent cx="2857500" cy="19050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20" w:before="220" w:lineRule="auto"/>
        <w:jc w:val="center"/>
        <w:rPr>
          <w:i w:val="1"/>
          <w:color w:val="222222"/>
          <w:sz w:val="16"/>
          <w:szCs w:val="16"/>
        </w:rPr>
      </w:pPr>
      <w:r w:rsidDel="00000000" w:rsidR="00000000" w:rsidRPr="00000000">
        <w:rPr>
          <w:i w:val="1"/>
          <w:color w:val="222222"/>
          <w:sz w:val="16"/>
          <w:szCs w:val="16"/>
          <w:rtl w:val="0"/>
        </w:rPr>
        <w:t xml:space="preserve">Para a temporada 2023 o GR010 usará novamente biocombustível 100% renovável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 GR010 HYBRID usará novamente biocombustível 100% renovável, feito de resíduos de vinho e material agrícola, que reduzem as emissões de CO2 em pelo menos 65% e contribuem para os esforços contínuos para aumentar a sustentabilidade nas corridas de endurance. 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Para complementar esses esforços, o pré-aquecimento dos pneus antes do uso não é mais permitido, o que reduz o consumo de energia e as emissões. Como resultado, a Michelin introduziu uma nova gama de compostos de pneus, concebidos para atingir rapidamente o pico de temperatura operacional, mantendo a durabilidade e o desempenho. 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Mais uma vez, o GR010 HYBRID se beneficia dos conhecimentos técnicos dos parceiros de longo prazo da Toyota GAZOO Racing, que continuam contribuindo significativamente para o seu sucesso. A DENSO fornece radiadores e velas de ignição enquanto também contribui para o motor dianteiro conjuntamente à AISIN. A RAYS fornece rodas de liga leve de magnésio, a Akebono fornece pinças de freio de liga monobloco e Mobil 1 é o lubrificante escolhido.  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 papel de piloto de teste e reserva será assumido por Kazuki Nakajima, que se aposentou das corridas no final de 2021, após uma carreira que incluiu três vitórias em Le Mans e um campeonato mundial, além de dois títulos da Super Fórmula. O posto paralelamente à sua posição como vice-presidente da Toyota GAZOO Racing Europe. 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temporada começa em 11-12 de março com um teste oficial do Prólogo, seguido em 17 de março pelas 1000 Milhas de Sebring, antes das viagens a Portimão (16 de abril) e Spa-Francorchamps (29 de abril). O destaque da temporada, a edição centenária das 24 Horas de Le Mans, acontece de 10 a 11 de junho, antes das três últimas corridas em Monza (9 de julho), Fuji Speedway (10 de setembro) e Bahrein (4 de novembro).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Sobre a Toyota do Brasil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Mais informações</w:t>
      </w:r>
    </w:p>
    <w:p w:rsidR="00000000" w:rsidDel="00000000" w:rsidP="00000000" w:rsidRDefault="00000000" w:rsidRPr="00000000" w14:paraId="0000002C">
      <w:pPr>
        <w:shd w:fill="ffffff" w:val="clear"/>
        <w:spacing w:after="220" w:before="220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D">
      <w:pPr>
        <w:shd w:fill="ffffff" w:val="clear"/>
        <w:spacing w:after="220" w:before="220" w:lineRule="auto"/>
        <w:jc w:val="both"/>
        <w:rPr>
          <w:color w:val="1155cc"/>
        </w:rPr>
      </w:pPr>
      <w:r w:rsidDel="00000000" w:rsidR="00000000" w:rsidRPr="00000000">
        <w:rPr>
          <w:color w:val="222222"/>
          <w:rtl w:val="0"/>
        </w:rPr>
        <w:t xml:space="preserve">Kelly Buarque – </w:t>
      </w:r>
      <w:r w:rsidDel="00000000" w:rsidR="00000000" w:rsidRPr="00000000">
        <w:rPr>
          <w:color w:val="1155cc"/>
          <w:rtl w:val="0"/>
        </w:rPr>
        <w:t xml:space="preserve">kbuarque@toyota.com.br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Rule="auto"/>
        <w:jc w:val="both"/>
        <w:rPr>
          <w:color w:val="1155cc"/>
        </w:rPr>
      </w:pPr>
      <w:r w:rsidDel="00000000" w:rsidR="00000000" w:rsidRPr="00000000">
        <w:rPr>
          <w:color w:val="222222"/>
          <w:rtl w:val="0"/>
        </w:rPr>
        <w:t xml:space="preserve">Kessia Santos – </w:t>
      </w:r>
      <w:r w:rsidDel="00000000" w:rsidR="00000000" w:rsidRPr="00000000">
        <w:rPr>
          <w:color w:val="1155cc"/>
          <w:rtl w:val="0"/>
        </w:rPr>
        <w:t xml:space="preserve">kosantos@toyota.com.br</w:t>
      </w:r>
    </w:p>
    <w:p w:rsidR="00000000" w:rsidDel="00000000" w:rsidP="00000000" w:rsidRDefault="00000000" w:rsidRPr="00000000" w14:paraId="0000002F">
      <w:pPr>
        <w:shd w:fill="ffffff" w:val="clear"/>
        <w:spacing w:after="220" w:before="220" w:lineRule="auto"/>
        <w:jc w:val="both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RPMA Comunicação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Rule="auto"/>
        <w:jc w:val="both"/>
        <w:rPr>
          <w:b w:val="1"/>
          <w:color w:val="1155cc"/>
        </w:rPr>
      </w:pPr>
      <w:r w:rsidDel="00000000" w:rsidR="00000000" w:rsidRPr="00000000">
        <w:rPr>
          <w:b w:val="1"/>
          <w:color w:val="1155cc"/>
          <w:rtl w:val="0"/>
        </w:rPr>
        <w:t xml:space="preserve">toyota@rpmacomunicacao.com.br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2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3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34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35">
      <w:pPr>
        <w:shd w:fill="ffffff" w:val="clear"/>
        <w:spacing w:after="220" w:before="220" w:lineRule="auto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Tel.: (11) 5501-4655</w:t>
      </w:r>
    </w:p>
    <w:p w:rsidR="00000000" w:rsidDel="00000000" w:rsidP="00000000" w:rsidRDefault="00000000" w:rsidRPr="00000000" w14:paraId="00000036">
      <w:pPr>
        <w:shd w:fill="ffffff" w:val="clear"/>
        <w:spacing w:after="220" w:before="220" w:lineRule="auto"/>
        <w:jc w:val="both"/>
        <w:rPr>
          <w:color w:val="222222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rpmacomunicacao.com.br/" TargetMode="External"/><Relationship Id="rId10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